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DF7" w:rsidRDefault="006A7DF7" w:rsidP="006A7DF7">
      <w:pPr>
        <w:autoSpaceDE w:val="0"/>
        <w:autoSpaceDN w:val="0"/>
        <w:adjustRightInd w:val="0"/>
        <w:spacing w:after="0" w:line="240" w:lineRule="auto"/>
        <w:rPr>
          <w:rFonts w:ascii="Arial" w:hAnsi="Arial" w:cs="Arial"/>
          <w:b/>
          <w:bCs/>
          <w:i/>
          <w:iCs/>
          <w:sz w:val="20"/>
          <w:szCs w:val="20"/>
        </w:rPr>
      </w:pPr>
      <w:r>
        <w:rPr>
          <w:rFonts w:ascii="Arial" w:hAnsi="Arial" w:cs="Arial"/>
          <w:b/>
          <w:bCs/>
          <w:i/>
          <w:iCs/>
          <w:sz w:val="20"/>
          <w:szCs w:val="20"/>
        </w:rPr>
        <w:t>1.2. Épreuve n° 11 « Écologie, agronomie et territoires » (Spécialité)</w:t>
      </w:r>
    </w:p>
    <w:p w:rsidR="006A7DF7" w:rsidRDefault="006A7DF7" w:rsidP="006A7DF7">
      <w:pPr>
        <w:autoSpaceDE w:val="0"/>
        <w:autoSpaceDN w:val="0"/>
        <w:adjustRightInd w:val="0"/>
        <w:spacing w:after="0" w:line="240" w:lineRule="auto"/>
        <w:rPr>
          <w:rFonts w:ascii="Arial" w:hAnsi="Arial" w:cs="Arial"/>
          <w:b/>
          <w:bCs/>
          <w:i/>
          <w:iCs/>
          <w:sz w:val="20"/>
          <w:szCs w:val="20"/>
        </w:rPr>
      </w:pPr>
    </w:p>
    <w:p w:rsidR="006A7DF7" w:rsidRDefault="006A7DF7" w:rsidP="006A7DF7">
      <w:pPr>
        <w:autoSpaceDE w:val="0"/>
        <w:autoSpaceDN w:val="0"/>
        <w:adjustRightInd w:val="0"/>
        <w:spacing w:after="0" w:line="240" w:lineRule="auto"/>
        <w:rPr>
          <w:rFonts w:ascii="Arial" w:hAnsi="Arial" w:cs="Arial"/>
          <w:b/>
          <w:bCs/>
          <w:i/>
          <w:iCs/>
          <w:sz w:val="20"/>
          <w:szCs w:val="20"/>
        </w:rPr>
      </w:pPr>
      <w:r>
        <w:rPr>
          <w:rFonts w:ascii="Arial" w:hAnsi="Arial" w:cs="Arial"/>
          <w:b/>
          <w:bCs/>
          <w:i/>
          <w:iCs/>
          <w:sz w:val="20"/>
          <w:szCs w:val="20"/>
        </w:rPr>
        <w:t>1.2.1. Définition</w:t>
      </w:r>
    </w:p>
    <w:p w:rsidR="006A7DF7" w:rsidRDefault="006A7DF7" w:rsidP="006A7DF7">
      <w:pPr>
        <w:autoSpaceDE w:val="0"/>
        <w:autoSpaceDN w:val="0"/>
        <w:adjustRightInd w:val="0"/>
        <w:spacing w:after="0" w:line="240" w:lineRule="auto"/>
        <w:rPr>
          <w:rFonts w:ascii="Arial" w:hAnsi="Arial" w:cs="Arial"/>
          <w:b/>
          <w:bCs/>
          <w:i/>
          <w:iCs/>
          <w:sz w:val="20"/>
          <w:szCs w:val="20"/>
        </w:rPr>
      </w:pPr>
      <w:r>
        <w:rPr>
          <w:rFonts w:ascii="Arial" w:hAnsi="Arial" w:cs="Arial"/>
          <w:i/>
          <w:iCs/>
          <w:sz w:val="20"/>
          <w:szCs w:val="20"/>
        </w:rPr>
        <w:t>L’épreuve de l’enseignement de spécialité «Écologie, agronomie et territoires» est une épreuve terminale orale d’une durée de trente minutes et de coefficient 2.</w:t>
      </w:r>
    </w:p>
    <w:p w:rsidR="006A7DF7" w:rsidRDefault="006A7DF7" w:rsidP="006A7DF7">
      <w:pPr>
        <w:autoSpaceDE w:val="0"/>
        <w:autoSpaceDN w:val="0"/>
        <w:adjustRightInd w:val="0"/>
        <w:spacing w:after="0" w:line="240" w:lineRule="auto"/>
        <w:rPr>
          <w:rFonts w:ascii="Arial" w:hAnsi="Arial" w:cs="Arial"/>
          <w:b/>
          <w:bCs/>
          <w:i/>
          <w:iCs/>
          <w:sz w:val="20"/>
          <w:szCs w:val="20"/>
        </w:rPr>
      </w:pPr>
    </w:p>
    <w:p w:rsidR="006A7DF7" w:rsidRDefault="006A7DF7" w:rsidP="006A7DF7">
      <w:pPr>
        <w:autoSpaceDE w:val="0"/>
        <w:autoSpaceDN w:val="0"/>
        <w:adjustRightInd w:val="0"/>
        <w:spacing w:after="0" w:line="240" w:lineRule="auto"/>
        <w:rPr>
          <w:rFonts w:ascii="Arial" w:hAnsi="Arial" w:cs="Arial"/>
          <w:b/>
          <w:bCs/>
          <w:i/>
          <w:iCs/>
          <w:sz w:val="20"/>
          <w:szCs w:val="20"/>
        </w:rPr>
      </w:pPr>
      <w:r>
        <w:rPr>
          <w:rFonts w:ascii="Arial" w:hAnsi="Arial" w:cs="Arial"/>
          <w:b/>
          <w:bCs/>
          <w:i/>
          <w:iCs/>
          <w:sz w:val="20"/>
          <w:szCs w:val="20"/>
        </w:rPr>
        <w:t>1.2.2. Objectifs et modalités de l’épreuve</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L’épreuve vise à apprécier les capacités du candidat à présenter de façon synthétique et argumentée une problématique de son choix, territorialisée et relative à une situation concrète.</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xml:space="preserve">La problématique doit prendre en compte un ou des </w:t>
      </w:r>
      <w:proofErr w:type="gramStart"/>
      <w:r>
        <w:rPr>
          <w:rFonts w:ascii="Arial" w:hAnsi="Arial" w:cs="Arial"/>
          <w:i/>
          <w:iCs/>
          <w:sz w:val="20"/>
          <w:szCs w:val="20"/>
        </w:rPr>
        <w:t>enjeu(x) agricole(s</w:t>
      </w:r>
      <w:proofErr w:type="gramEnd"/>
      <w:r>
        <w:rPr>
          <w:rFonts w:ascii="Arial" w:hAnsi="Arial" w:cs="Arial"/>
          <w:i/>
          <w:iCs/>
          <w:sz w:val="20"/>
          <w:szCs w:val="20"/>
        </w:rPr>
        <w:t>) d’un territoire en interaction avec le contexte social, économique et environnemental, dans une perspective de durabilité.</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L’épreuve vise aussi à vérifier que le candidat s’est approprié les concepts et les méthodes développés dans l’enseignement de spécialité, à partir du recueil de 3 à 6 fiches d’activités fournies par l’établissement au jury.</w:t>
      </w:r>
    </w:p>
    <w:p w:rsidR="006A7DF7" w:rsidRDefault="006A7DF7" w:rsidP="006A7DF7">
      <w:pPr>
        <w:autoSpaceDE w:val="0"/>
        <w:autoSpaceDN w:val="0"/>
        <w:adjustRightInd w:val="0"/>
        <w:spacing w:after="0" w:line="240" w:lineRule="auto"/>
        <w:rPr>
          <w:rFonts w:ascii="Arial" w:hAnsi="Arial" w:cs="Arial"/>
          <w:i/>
          <w:iCs/>
          <w:sz w:val="20"/>
          <w:szCs w:val="20"/>
        </w:rPr>
      </w:pPr>
    </w:p>
    <w:p w:rsidR="006A7DF7" w:rsidRDefault="006A7DF7" w:rsidP="006A7DF7">
      <w:pPr>
        <w:autoSpaceDE w:val="0"/>
        <w:autoSpaceDN w:val="0"/>
        <w:adjustRightInd w:val="0"/>
        <w:spacing w:after="0" w:line="240" w:lineRule="auto"/>
        <w:rPr>
          <w:rFonts w:ascii="Arial" w:hAnsi="Arial" w:cs="Arial"/>
          <w:b/>
          <w:bCs/>
          <w:i/>
          <w:iCs/>
          <w:sz w:val="20"/>
          <w:szCs w:val="20"/>
        </w:rPr>
      </w:pPr>
      <w:r>
        <w:rPr>
          <w:rFonts w:ascii="Arial" w:hAnsi="Arial" w:cs="Arial"/>
          <w:b/>
          <w:bCs/>
          <w:i/>
          <w:iCs/>
          <w:sz w:val="20"/>
          <w:szCs w:val="20"/>
        </w:rPr>
        <w:t>Modalités de l’épreuve</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Le candidat fournit au jury le jour de l’évaluation une note de synthèse de deux pages maximum. Elle ne sera pas évaluée.</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xml:space="preserve">Sur le plan matériel, le candidat trouve à sa disposition un tableau et un rétroprojecteur. Tout autre support ou outil de communication ne peut relever que de sa propre initiative, avec les contraintes y afférant (mise en </w:t>
      </w:r>
      <w:proofErr w:type="spellStart"/>
      <w:r>
        <w:rPr>
          <w:rFonts w:ascii="Arial" w:hAnsi="Arial" w:cs="Arial"/>
          <w:i/>
          <w:iCs/>
          <w:sz w:val="20"/>
          <w:szCs w:val="20"/>
        </w:rPr>
        <w:t>oeuvre</w:t>
      </w:r>
      <w:proofErr w:type="gramStart"/>
      <w:r>
        <w:rPr>
          <w:rFonts w:ascii="Arial" w:hAnsi="Arial" w:cs="Arial"/>
          <w:i/>
          <w:iCs/>
          <w:sz w:val="20"/>
          <w:szCs w:val="20"/>
        </w:rPr>
        <w:t>,gestion</w:t>
      </w:r>
      <w:proofErr w:type="spellEnd"/>
      <w:proofErr w:type="gramEnd"/>
      <w:r>
        <w:rPr>
          <w:rFonts w:ascii="Arial" w:hAnsi="Arial" w:cs="Arial"/>
          <w:i/>
          <w:iCs/>
          <w:sz w:val="20"/>
          <w:szCs w:val="20"/>
        </w:rPr>
        <w:t xml:space="preserve"> du temps, aléas techniques).</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L’épreuve orale comprend deux parties :</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Une première partie d’une durée de 20 minutes constituée de la présentation de la problématique choisie et des enjeux correspondants (d’une durée de 10 minutes maximum) suivie de l’entretien avec le jury sur l’exposé présenté.</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Une seconde partie d’une durée de 10 minutes consistant en un questionnement portant sur les activités conduites en cours d’année et mentionnées sur les fiches d’activités fournies par l’établissement.</w:t>
      </w:r>
    </w:p>
    <w:p w:rsidR="006A7DF7" w:rsidRDefault="006A7DF7" w:rsidP="006A7DF7">
      <w:pPr>
        <w:autoSpaceDE w:val="0"/>
        <w:autoSpaceDN w:val="0"/>
        <w:adjustRightInd w:val="0"/>
        <w:spacing w:after="0" w:line="240" w:lineRule="auto"/>
        <w:rPr>
          <w:rFonts w:ascii="Arial" w:hAnsi="Arial" w:cs="Arial"/>
          <w:i/>
          <w:iCs/>
          <w:sz w:val="20"/>
          <w:szCs w:val="20"/>
        </w:rPr>
      </w:pPr>
    </w:p>
    <w:p w:rsidR="006A7DF7" w:rsidRDefault="006A7DF7" w:rsidP="006A7DF7">
      <w:pPr>
        <w:autoSpaceDE w:val="0"/>
        <w:autoSpaceDN w:val="0"/>
        <w:adjustRightInd w:val="0"/>
        <w:spacing w:after="0" w:line="240" w:lineRule="auto"/>
        <w:rPr>
          <w:rFonts w:ascii="Arial" w:hAnsi="Arial" w:cs="Arial"/>
          <w:b/>
          <w:bCs/>
          <w:i/>
          <w:iCs/>
          <w:sz w:val="20"/>
          <w:szCs w:val="20"/>
        </w:rPr>
      </w:pPr>
      <w:r>
        <w:rPr>
          <w:rFonts w:ascii="Arial" w:hAnsi="Arial" w:cs="Arial"/>
          <w:b/>
          <w:bCs/>
          <w:i/>
          <w:iCs/>
          <w:sz w:val="20"/>
          <w:szCs w:val="20"/>
        </w:rPr>
        <w:t>Le recueil de fiches d’activités</w:t>
      </w:r>
      <w:r w:rsidR="004000CA">
        <w:rPr>
          <w:rFonts w:ascii="Arial" w:hAnsi="Arial" w:cs="Arial"/>
          <w:b/>
          <w:bCs/>
          <w:i/>
          <w:iCs/>
          <w:sz w:val="20"/>
          <w:szCs w:val="20"/>
        </w:rPr>
        <w:t xml:space="preserve"> (3à 6 fiches)</w:t>
      </w:r>
      <w:bookmarkStart w:id="0" w:name="_GoBack"/>
      <w:bookmarkEnd w:id="0"/>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Support de la deuxième partie de l’épreuve, ce recueil rend compte de la totalité des activités conduites lors de l’enseignement de spécialité. Constitué par les enseignants de la classe, ce recueil est visé par ces derniers et par le chef d’établissement.</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Outre l’identification de l’établissement, il comporte un sommaire des fiches présentées.</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Chaque fiche d’activité (voir modèle en annexe 5) présente de manière succincte :</w:t>
      </w:r>
    </w:p>
    <w:p w:rsidR="006A7DF7" w:rsidRDefault="006A7DF7" w:rsidP="006A7DF7">
      <w:pPr>
        <w:autoSpaceDE w:val="0"/>
        <w:autoSpaceDN w:val="0"/>
        <w:adjustRightInd w:val="0"/>
        <w:spacing w:after="0" w:line="240" w:lineRule="auto"/>
        <w:rPr>
          <w:rFonts w:ascii="Arial" w:hAnsi="Arial" w:cs="Arial"/>
          <w:i/>
          <w:iCs/>
          <w:sz w:val="20"/>
          <w:szCs w:val="20"/>
        </w:rPr>
      </w:pPr>
      <w:r>
        <w:rPr>
          <w:rFonts w:ascii="Times New Roman" w:hAnsi="Times New Roman" w:cs="Times New Roman"/>
          <w:sz w:val="20"/>
          <w:szCs w:val="20"/>
        </w:rPr>
        <w:t xml:space="preserve">- </w:t>
      </w:r>
      <w:r>
        <w:rPr>
          <w:rFonts w:ascii="Arial" w:hAnsi="Arial" w:cs="Arial"/>
          <w:i/>
          <w:iCs/>
          <w:sz w:val="20"/>
          <w:szCs w:val="20"/>
        </w:rPr>
        <w:t>La problématique abordée,</w:t>
      </w:r>
    </w:p>
    <w:p w:rsidR="006A7DF7" w:rsidRDefault="006A7DF7" w:rsidP="006A7DF7">
      <w:pPr>
        <w:autoSpaceDE w:val="0"/>
        <w:autoSpaceDN w:val="0"/>
        <w:adjustRightInd w:val="0"/>
        <w:spacing w:after="0" w:line="240" w:lineRule="auto"/>
        <w:rPr>
          <w:rFonts w:ascii="Arial" w:hAnsi="Arial" w:cs="Arial"/>
          <w:i/>
          <w:iCs/>
          <w:sz w:val="20"/>
          <w:szCs w:val="20"/>
        </w:rPr>
      </w:pPr>
      <w:r>
        <w:rPr>
          <w:rFonts w:ascii="Times New Roman" w:hAnsi="Times New Roman" w:cs="Times New Roman"/>
          <w:sz w:val="20"/>
          <w:szCs w:val="20"/>
        </w:rPr>
        <w:t xml:space="preserve">- </w:t>
      </w:r>
      <w:r>
        <w:rPr>
          <w:rFonts w:ascii="Arial" w:hAnsi="Arial" w:cs="Arial"/>
          <w:i/>
          <w:iCs/>
          <w:sz w:val="20"/>
          <w:szCs w:val="20"/>
        </w:rPr>
        <w:t>Le territoire support (le territoire de proximité est privilégié),</w:t>
      </w:r>
    </w:p>
    <w:p w:rsidR="006A7DF7" w:rsidRDefault="006A7DF7" w:rsidP="006A7DF7">
      <w:pPr>
        <w:autoSpaceDE w:val="0"/>
        <w:autoSpaceDN w:val="0"/>
        <w:adjustRightInd w:val="0"/>
        <w:spacing w:after="0" w:line="240" w:lineRule="auto"/>
        <w:rPr>
          <w:rFonts w:ascii="Arial" w:hAnsi="Arial" w:cs="Arial"/>
          <w:i/>
          <w:iCs/>
          <w:sz w:val="20"/>
          <w:szCs w:val="20"/>
        </w:rPr>
      </w:pPr>
      <w:r>
        <w:rPr>
          <w:rFonts w:ascii="Times New Roman" w:hAnsi="Times New Roman" w:cs="Times New Roman"/>
          <w:sz w:val="20"/>
          <w:szCs w:val="20"/>
        </w:rPr>
        <w:t xml:space="preserve">- </w:t>
      </w:r>
      <w:r>
        <w:rPr>
          <w:rFonts w:ascii="Arial" w:hAnsi="Arial" w:cs="Arial"/>
          <w:i/>
          <w:iCs/>
          <w:sz w:val="20"/>
          <w:szCs w:val="20"/>
        </w:rPr>
        <w:t>Les enjeux identifiés dans une perspective de durabilité,</w:t>
      </w:r>
    </w:p>
    <w:p w:rsidR="006A7DF7" w:rsidRDefault="006A7DF7" w:rsidP="006A7DF7">
      <w:pPr>
        <w:autoSpaceDE w:val="0"/>
        <w:autoSpaceDN w:val="0"/>
        <w:adjustRightInd w:val="0"/>
        <w:spacing w:after="0" w:line="240" w:lineRule="auto"/>
        <w:rPr>
          <w:rFonts w:ascii="Arial" w:hAnsi="Arial" w:cs="Arial"/>
          <w:i/>
          <w:iCs/>
          <w:sz w:val="20"/>
          <w:szCs w:val="20"/>
        </w:rPr>
      </w:pPr>
      <w:r>
        <w:rPr>
          <w:rFonts w:ascii="Times New Roman" w:hAnsi="Times New Roman" w:cs="Times New Roman"/>
          <w:sz w:val="20"/>
          <w:szCs w:val="20"/>
        </w:rPr>
        <w:t xml:space="preserve">- </w:t>
      </w:r>
      <w:r>
        <w:rPr>
          <w:rFonts w:ascii="Arial" w:hAnsi="Arial" w:cs="Arial"/>
          <w:i/>
          <w:iCs/>
          <w:sz w:val="20"/>
          <w:szCs w:val="20"/>
        </w:rPr>
        <w:t>Les activités pédagogiques conduites : forme(s) et durée de la séquence, intervenant(s),</w:t>
      </w:r>
    </w:p>
    <w:p w:rsidR="006A7DF7" w:rsidRDefault="006A7DF7" w:rsidP="006A7DF7">
      <w:pPr>
        <w:autoSpaceDE w:val="0"/>
        <w:autoSpaceDN w:val="0"/>
        <w:adjustRightInd w:val="0"/>
        <w:spacing w:after="0" w:line="240" w:lineRule="auto"/>
        <w:rPr>
          <w:rFonts w:ascii="Arial" w:hAnsi="Arial" w:cs="Arial"/>
          <w:i/>
          <w:iCs/>
          <w:sz w:val="20"/>
          <w:szCs w:val="20"/>
        </w:rPr>
      </w:pPr>
      <w:r>
        <w:rPr>
          <w:rFonts w:ascii="Times New Roman" w:hAnsi="Times New Roman" w:cs="Times New Roman"/>
          <w:sz w:val="20"/>
          <w:szCs w:val="20"/>
        </w:rPr>
        <w:t xml:space="preserve">- </w:t>
      </w:r>
      <w:r>
        <w:rPr>
          <w:rFonts w:ascii="Arial" w:hAnsi="Arial" w:cs="Arial"/>
          <w:i/>
          <w:iCs/>
          <w:sz w:val="20"/>
          <w:szCs w:val="20"/>
        </w:rPr>
        <w:t>Les notions-clés.</w:t>
      </w:r>
    </w:p>
    <w:p w:rsidR="006A7DF7" w:rsidRDefault="006A7DF7" w:rsidP="006A7DF7">
      <w:pPr>
        <w:autoSpaceDE w:val="0"/>
        <w:autoSpaceDN w:val="0"/>
        <w:adjustRightInd w:val="0"/>
        <w:spacing w:after="0" w:line="240" w:lineRule="auto"/>
        <w:rPr>
          <w:rFonts w:ascii="Arial" w:hAnsi="Arial" w:cs="Arial"/>
          <w:i/>
          <w:iCs/>
          <w:sz w:val="20"/>
          <w:szCs w:val="20"/>
        </w:rPr>
      </w:pPr>
    </w:p>
    <w:p w:rsidR="006A7DF7" w:rsidRDefault="006A7DF7" w:rsidP="006A7DF7">
      <w:pPr>
        <w:autoSpaceDE w:val="0"/>
        <w:autoSpaceDN w:val="0"/>
        <w:adjustRightInd w:val="0"/>
        <w:spacing w:after="0" w:line="240" w:lineRule="auto"/>
        <w:rPr>
          <w:rFonts w:ascii="Arial" w:hAnsi="Arial" w:cs="Arial"/>
          <w:b/>
          <w:bCs/>
          <w:i/>
          <w:iCs/>
          <w:sz w:val="20"/>
          <w:szCs w:val="20"/>
        </w:rPr>
      </w:pPr>
      <w:r>
        <w:rPr>
          <w:rFonts w:ascii="Arial" w:hAnsi="Arial" w:cs="Arial"/>
          <w:b/>
          <w:bCs/>
          <w:i/>
          <w:iCs/>
          <w:sz w:val="20"/>
          <w:szCs w:val="20"/>
        </w:rPr>
        <w:t>Modalités d’évaluation</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Le jury est composé de deux enseignants : un enseignant de sciences et techniques agronomiques et un enseignant choisi parmi les autres disciplines de l’enseignement de spécialité : éducation socioculturelle, histoire-géographie, sciences économiques sociales et de gestion.</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Les membres du jury réalisent une évaluation conjointe à partir de la grille d’évaluation (annexe 6).</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Le jury est convoqué une demi-journée précédant le début de l’épreuve afin de prendre connaissance des recueils de fiches d’activités le concernant.</w:t>
      </w:r>
    </w:p>
    <w:p w:rsidR="006A7DF7" w:rsidRDefault="006A7DF7" w:rsidP="006A7DF7">
      <w:pPr>
        <w:autoSpaceDE w:val="0"/>
        <w:autoSpaceDN w:val="0"/>
        <w:adjustRightInd w:val="0"/>
        <w:spacing w:after="0" w:line="240" w:lineRule="auto"/>
        <w:rPr>
          <w:rFonts w:ascii="Arial" w:hAnsi="Arial" w:cs="Arial"/>
          <w:i/>
          <w:iCs/>
          <w:sz w:val="20"/>
          <w:szCs w:val="20"/>
        </w:rPr>
      </w:pPr>
    </w:p>
    <w:p w:rsidR="006A7DF7" w:rsidRDefault="006A7DF7" w:rsidP="006A7DF7">
      <w:pPr>
        <w:autoSpaceDE w:val="0"/>
        <w:autoSpaceDN w:val="0"/>
        <w:adjustRightInd w:val="0"/>
        <w:spacing w:after="0" w:line="240" w:lineRule="auto"/>
        <w:rPr>
          <w:rFonts w:ascii="Arial" w:hAnsi="Arial" w:cs="Arial"/>
          <w:b/>
          <w:bCs/>
          <w:i/>
          <w:iCs/>
          <w:sz w:val="20"/>
          <w:szCs w:val="20"/>
        </w:rPr>
      </w:pPr>
      <w:r>
        <w:rPr>
          <w:rFonts w:ascii="Arial" w:hAnsi="Arial" w:cs="Arial"/>
          <w:b/>
          <w:bCs/>
          <w:i/>
          <w:iCs/>
          <w:sz w:val="20"/>
          <w:szCs w:val="20"/>
        </w:rPr>
        <w:t>La fiche d’évaluation</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xml:space="preserve">Le </w:t>
      </w:r>
      <w:proofErr w:type="spellStart"/>
      <w:r>
        <w:rPr>
          <w:rFonts w:ascii="Arial" w:hAnsi="Arial" w:cs="Arial"/>
          <w:i/>
          <w:iCs/>
          <w:sz w:val="20"/>
          <w:szCs w:val="20"/>
        </w:rPr>
        <w:t>procès verbal</w:t>
      </w:r>
      <w:proofErr w:type="spellEnd"/>
      <w:r>
        <w:rPr>
          <w:rFonts w:ascii="Arial" w:hAnsi="Arial" w:cs="Arial"/>
          <w:i/>
          <w:iCs/>
          <w:sz w:val="20"/>
          <w:szCs w:val="20"/>
        </w:rPr>
        <w:t xml:space="preserve"> individuel de l’épreuve est établi sur la fiche standard de l’évaluation, qui comporte :</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au recto : l’identification de l’épreuve, de l’établissement, du centre d’examen, du candidat et des interrogateurs; la note obtenue et le visa des interrogateurs ;</w:t>
      </w:r>
    </w:p>
    <w:p w:rsidR="006A7DF7" w:rsidRDefault="006A7DF7" w:rsidP="006A7DF7">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au verso la grille d’évaluation validant la notation.</w:t>
      </w:r>
    </w:p>
    <w:p w:rsidR="00144879" w:rsidRDefault="006A7DF7" w:rsidP="006A7DF7">
      <w:r>
        <w:rPr>
          <w:rFonts w:ascii="Arial" w:hAnsi="Arial" w:cs="Arial"/>
          <w:i/>
          <w:iCs/>
          <w:sz w:val="20"/>
          <w:szCs w:val="20"/>
        </w:rPr>
        <w:t>L’ensemble des fiches d’évaluation est joint aux documents transmis par le jury en fin d’épreuve.</w:t>
      </w:r>
    </w:p>
    <w:sectPr w:rsidR="00144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F7"/>
    <w:rsid w:val="00144879"/>
    <w:rsid w:val="004000CA"/>
    <w:rsid w:val="006A7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543</Words>
  <Characters>2989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Tregouet</dc:creator>
  <cp:lastModifiedBy>jean Tregouet</cp:lastModifiedBy>
  <cp:revision>2</cp:revision>
  <dcterms:created xsi:type="dcterms:W3CDTF">2013-04-04T06:20:00Z</dcterms:created>
  <dcterms:modified xsi:type="dcterms:W3CDTF">2013-04-04T06:36:00Z</dcterms:modified>
</cp:coreProperties>
</file>